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pacing w:after="0" w:beforeAutospacing="0" w:afterAutospacing="0"/>
        <w:ind w:firstLine="5812"/>
        <w:rPr>
          <w:rFonts w:ascii="Times New Roman" w:hAnsi="Times New Roman"/>
          <w:sz w:val="24"/>
          <w:szCs w:val="24"/>
        </w:rPr>
      </w:pPr>
      <w:r>
        <w:rPr>
          <w:rFonts w:ascii="Times New Roman" w:hAnsi="Times New Roman"/>
          <w:sz w:val="24"/>
          <w:szCs w:val="24"/>
        </w:rPr>
        <w:t xml:space="preserve">Додаток  8</w:t>
      </w:r>
    </w:p>
    <w:p>
      <w:pPr>
        <w:spacing w:after="0" w:beforeAutospacing="0" w:afterAutospacing="0"/>
        <w:ind w:firstLine="5812"/>
        <w:rPr>
          <w:rFonts w:ascii="Times New Roman" w:hAnsi="Times New Roman"/>
          <w:sz w:val="24"/>
          <w:szCs w:val="24"/>
        </w:rPr>
      </w:pPr>
      <w:r>
        <w:rPr>
          <w:rFonts w:ascii="Times New Roman" w:hAnsi="Times New Roman"/>
          <w:sz w:val="24"/>
          <w:szCs w:val="24"/>
        </w:rPr>
        <w:t>до рішення виконавчого комітету</w:t>
      </w:r>
    </w:p>
    <w:p>
      <w:pPr>
        <w:spacing w:after="0" w:beforeAutospacing="0" w:afterAutospacing="0"/>
        <w:ind w:firstLine="5812"/>
        <w:rPr>
          <w:rFonts w:ascii="Times New Roman" w:hAnsi="Times New Roman"/>
          <w:sz w:val="24"/>
          <w:szCs w:val="24"/>
        </w:rPr>
      </w:pPr>
      <w:r>
        <w:rPr>
          <w:rFonts w:ascii="Times New Roman" w:hAnsi="Times New Roman"/>
          <w:sz w:val="24"/>
          <w:szCs w:val="24"/>
        </w:rPr>
        <w:t>міської ради</w:t>
      </w:r>
    </w:p>
    <w:p>
      <w:pPr>
        <w:tabs>
          <w:tab w:val="left" w:pos="0" w:leader="none"/>
        </w:tabs>
        <w:spacing w:after="0" w:beforeAutospacing="0" w:afterAutospacing="0"/>
        <w:jc w:val="both"/>
        <w:rPr>
          <w:rFonts w:ascii="Times New Roman" w:hAnsi="Times New Roman"/>
          <w:b w:val="1"/>
          <w:color w:val="000000"/>
          <w:sz w:val="24"/>
          <w:szCs w:val="24"/>
        </w:rPr>
      </w:pPr>
    </w:p>
    <w:p>
      <w:pPr>
        <w:tabs>
          <w:tab w:val="left" w:pos="0" w:leader="none"/>
        </w:tabs>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Перелік документів, необхідних для погодження передачі у власність громадянам жилого приміщення в гуртожитку комунальної власності Тернопільської міської територіальної громади.</w:t>
      </w:r>
    </w:p>
    <w:p>
      <w:pPr>
        <w:spacing w:after="0" w:beforeAutospacing="0" w:afterAutospacing="0"/>
        <w:rPr>
          <w:rFonts w:ascii="Times New Roman" w:hAnsi="Times New Roman"/>
          <w:b w:val="1"/>
          <w:color w:val="000000"/>
          <w:sz w:val="24"/>
          <w:szCs w:val="24"/>
        </w:rPr>
      </w:pPr>
      <w:r>
        <w:rPr>
          <w:rFonts w:ascii="Times New Roman" w:hAnsi="Times New Roman"/>
          <w:color w:val="000000"/>
          <w:sz w:val="24"/>
          <w:szCs w:val="24"/>
        </w:rPr>
        <w:t>Заявник подає на зареєстрованих у гуртожитку членів сім’ї:</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 xml:space="preserve">1.Заява встановленого зразка. (За неповнолітніх членів сім'ї наймача рішення щодо приватизації житла приймають батьки (усиновлювачі) або піклувальники. Згоду на участь у приватизації дітей вони засвідчують своїми підписами у заяві біля прізвища дитини. </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2.Заява – згода тимчасово відсутніх членів сім’ї наймача на приватизацію жилого приміщення у гуртожитку, посвідчена у встановленому законодавством порядку.</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 xml:space="preserve">3. Ордер на жилу площу в гуртожитку. </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 xml:space="preserve">4. Договір найму жилого приміщення  та/або договір оренди житла.</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5.Акт обстеження житлових умов з підприємства, на обслуговуванні якого перебуває будинок, оформлений не раніше ніж за 1 місяць до дня подання документів.</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6. Довідки про невикористання права на приватизацію державного житлового фонду (про включення в списки для приватизації житла та невикористання житлових чеків) за попередніми місцями проживання після 1992 року (крім території проведення антитерористичної операції та тимчасово окупованої території) з ПАТ «Державний Ощадний банк України».</w:t>
      </w:r>
    </w:p>
    <w:p>
      <w:pPr>
        <w:tabs>
          <w:tab w:val="left" w:pos="0" w:leader="none"/>
        </w:tabs>
        <w:spacing w:after="0" w:beforeAutospacing="0" w:afterAutospacing="0"/>
        <w:jc w:val="both"/>
        <w:rPr>
          <w:rFonts w:ascii="Times New Roman" w:hAnsi="Times New Roman"/>
          <w:color w:val="FF0000"/>
          <w:sz w:val="24"/>
          <w:szCs w:val="24"/>
        </w:rPr>
      </w:pPr>
      <w:r>
        <w:rPr>
          <w:rFonts w:ascii="Times New Roman" w:hAnsi="Times New Roman"/>
          <w:color w:val="000000" w:themeColor="text1"/>
          <w:sz w:val="24"/>
          <w:szCs w:val="24"/>
        </w:rPr>
        <w:t>7.</w:t>
      </w:r>
      <w:r>
        <w:rPr>
          <w:rFonts w:ascii="Times New Roman" w:hAnsi="Times New Roman"/>
          <w:sz w:val="24"/>
          <w:szCs w:val="24"/>
        </w:rPr>
        <w:t xml:space="preserve"> Довідки про наявність чи відсутність зареєстрованого права приватної власності на будинок (квартиру) на заявника та членів його сім’ї в тому числі на незареєстрованих (для мешканців м. Тернополя з ТОВ «Міське бюро технічної інвентаризації», </w:t>
      </w:r>
      <w:r>
        <w:rPr>
          <w:rFonts w:ascii="Times New Roman" w:hAnsi="Times New Roman"/>
          <w:bCs w:val="1"/>
          <w:sz w:val="24"/>
          <w:szCs w:val="24"/>
        </w:rPr>
        <w:t xml:space="preserve">для мешканців населених пунктів, які входять у склад Тернопільської міської територіальної громади </w:t>
      </w:r>
      <w:r>
        <w:rPr>
          <w:rFonts w:ascii="Times New Roman" w:hAnsi="Times New Roman"/>
          <w:sz w:val="24"/>
          <w:szCs w:val="24"/>
        </w:rPr>
        <w:t xml:space="preserve">з </w:t>
      </w:r>
      <w:r>
        <w:rPr>
          <w:rFonts w:ascii="Times New Roman" w:hAnsi="Times New Roman"/>
          <w:bCs w:val="1"/>
          <w:sz w:val="24"/>
          <w:szCs w:val="24"/>
        </w:rPr>
        <w:t>Зборівського районного бюро технічної інвентаризації</w:t>
      </w:r>
      <w:r>
        <w:rPr>
          <w:rFonts w:ascii="Times New Roman" w:hAnsi="Times New Roman"/>
          <w:sz w:val="24"/>
          <w:szCs w:val="24"/>
        </w:rPr>
        <w:t>).</w:t>
      </w:r>
    </w:p>
    <w:p>
      <w:pPr>
        <w:tabs>
          <w:tab w:val="left" w:pos="72" w:leader="none"/>
          <w:tab w:val="left" w:pos="252" w:leader="none"/>
          <w:tab w:val="left" w:pos="432" w:leader="none"/>
        </w:tabs>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 xml:space="preserve">8.Оригінал або належним чином завірена роботодавцем копія трудової книжки (всі  сторінки) заявника та особи, яка отримувала жиле приміщення в гуртожитку, (за наявності), в тому числі трудова книжка або належним чином завірена роботодавцем копія трудової книжки особи, яка знята з реєстрації в  гуртожитку, однак на яку видавався ордер. </w:t>
      </w:r>
    </w:p>
    <w:p>
      <w:pPr>
        <w:tabs>
          <w:tab w:val="left" w:pos="72" w:leader="none"/>
          <w:tab w:val="left" w:pos="252" w:leader="none"/>
          <w:tab w:val="left" w:pos="432"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9.Документи, що посвідчують особу та підтверджують громадянство України, громадянина, який подає заяву  та всіх членів його сім’ї</w:t>
      </w:r>
      <w:r>
        <w:rPr>
          <w:rFonts w:ascii="Times New Roman" w:hAnsi="Times New Roman"/>
          <w:sz w:val="24"/>
          <w:szCs w:val="24"/>
        </w:rPr>
        <w:t xml:space="preserve"> в тому числі на незареєстрованих</w:t>
      </w:r>
      <w:r>
        <w:rPr>
          <w:rFonts w:ascii="Times New Roman" w:hAnsi="Times New Roman"/>
          <w:color w:val="000000"/>
          <w:sz w:val="24"/>
          <w:szCs w:val="24"/>
          <w:shd w:val="clear" w:color="auto" w:fill="FFFFFF"/>
        </w:rPr>
        <w:t xml:space="preserve"> (для осіб, які не досягли 14 років, - копії свідоцтв про народження.</w:t>
      </w:r>
    </w:p>
    <w:p>
      <w:pPr>
        <w:tabs>
          <w:tab w:val="left" w:pos="72" w:leader="none"/>
          <w:tab w:val="left" w:pos="252" w:leader="none"/>
          <w:tab w:val="left" w:pos="432" w:leader="none"/>
        </w:tabs>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shd w:val="clear" w:color="auto" w:fill="FFFFFF"/>
        </w:rPr>
        <w:t>10. Довідки про присвоєння реєстраційного номера облікової картки платника податку громадянина, який подає заяву, та всіх членів його сім’ї</w:t>
      </w:r>
      <w:r>
        <w:rPr>
          <w:rFonts w:ascii="Times New Roman" w:hAnsi="Times New Roman"/>
          <w:sz w:val="24"/>
          <w:szCs w:val="24"/>
        </w:rPr>
        <w:t xml:space="preserve"> в тому числі на незареєстрованих </w:t>
      </w:r>
      <w:r>
        <w:rPr>
          <w:rFonts w:ascii="Times New Roman" w:hAnsi="Times New Roman"/>
          <w:color w:val="000000"/>
          <w:sz w:val="24"/>
          <w:szCs w:val="24"/>
          <w:shd w:val="clear" w:color="auto" w:fill="FFFFFF"/>
        </w:rPr>
        <w:t>(крім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w:t>
      </w:r>
    </w:p>
    <w:p>
      <w:pPr>
        <w:tabs>
          <w:tab w:val="left" w:pos="13" w:leader="none"/>
        </w:tabs>
        <w:spacing w:after="0" w:beforeAutospacing="0" w:afterAutospacing="0"/>
        <w:ind w:left="13"/>
        <w:jc w:val="both"/>
        <w:rPr>
          <w:rFonts w:ascii="Times New Roman" w:hAnsi="Times New Roman"/>
          <w:color w:val="000000"/>
          <w:sz w:val="24"/>
          <w:szCs w:val="24"/>
          <w:shd w:val="clear" w:color="auto" w:fill="FFFFFF"/>
        </w:rPr>
      </w:pPr>
      <w:r>
        <w:rPr>
          <w:rFonts w:ascii="Times New Roman" w:hAnsi="Times New Roman"/>
          <w:color w:val="000000"/>
          <w:sz w:val="24"/>
          <w:szCs w:val="24"/>
        </w:rPr>
        <w:t>11.</w:t>
      </w:r>
      <w:r>
        <w:rPr>
          <w:rFonts w:ascii="Times New Roman" w:hAnsi="Times New Roman"/>
          <w:color w:val="000000"/>
          <w:sz w:val="24"/>
          <w:szCs w:val="24"/>
          <w:shd w:val="clear" w:color="auto" w:fill="FFFFFF"/>
        </w:rPr>
        <w:t xml:space="preserve">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pPr>
        <w:tabs>
          <w:tab w:val="left" w:pos="13" w:leader="none"/>
        </w:tabs>
        <w:spacing w:after="0" w:beforeAutospacing="0" w:afterAutospacing="0"/>
        <w:ind w:left="13"/>
        <w:jc w:val="both"/>
        <w:rPr>
          <w:rFonts w:ascii="Times New Roman" w:hAnsi="Times New Roman"/>
          <w:color w:val="000000"/>
          <w:sz w:val="24"/>
          <w:szCs w:val="24"/>
        </w:rPr>
      </w:pPr>
      <w:r>
        <w:rPr>
          <w:rFonts w:ascii="Times New Roman" w:hAnsi="Times New Roman"/>
          <w:color w:val="000000"/>
          <w:sz w:val="24"/>
          <w:szCs w:val="24"/>
          <w:shd w:val="clear" w:color="auto" w:fill="FFFFFF"/>
        </w:rPr>
        <w:t>12. Форма первинної облікової документації №028/о «Консультаційний висновок спеціаліста» з відміткою про відсутність захворювання на туберкульоз.</w:t>
      </w:r>
    </w:p>
    <w:p>
      <w:pPr>
        <w:tabs>
          <w:tab w:val="left" w:pos="2555" w:leader="none"/>
        </w:tabs>
        <w:spacing w:after="0" w:beforeAutospacing="0" w:afterAutospacing="0"/>
        <w:rPr>
          <w:rFonts w:ascii="Times New Roman" w:hAnsi="Times New Roman"/>
          <w:color w:val="FF0000"/>
          <w:sz w:val="24"/>
          <w:szCs w:val="24"/>
        </w:rPr>
      </w:pPr>
      <w:r>
        <w:rPr>
          <w:rFonts w:ascii="Times New Roman" w:hAnsi="Times New Roman"/>
          <w:color w:val="FF0000"/>
          <w:sz w:val="24"/>
          <w:szCs w:val="24"/>
        </w:rPr>
        <w:tab/>
      </w:r>
    </w:p>
    <w:p>
      <w:pPr>
        <w:spacing w:after="0" w:beforeAutospacing="0" w:afterAutospacing="0"/>
        <w:rPr>
          <w:rFonts w:ascii="Times New Roman" w:hAnsi="Times New Roman"/>
          <w:color w:val="FF0000"/>
          <w:sz w:val="24"/>
          <w:szCs w:val="24"/>
        </w:rPr>
      </w:pPr>
    </w:p>
    <w:p>
      <w:pPr>
        <w:spacing w:after="0" w:beforeAutospacing="0" w:afterAutospacing="0"/>
        <w:rPr>
          <w:rFonts w:ascii="Times New Roman" w:hAnsi="Times New Roman"/>
          <w:color w:val="FF0000"/>
          <w:sz w:val="24"/>
          <w:szCs w:val="24"/>
        </w:rPr>
      </w:pPr>
    </w:p>
    <w:p>
      <w:pPr>
        <w:spacing w:after="0" w:beforeAutospacing="0" w:afterAutospacing="0"/>
        <w:rPr>
          <w:rFonts w:ascii="Times New Roman" w:hAnsi="Times New Roman"/>
          <w:color w:val="FF0000"/>
          <w:sz w:val="24"/>
          <w:szCs w:val="24"/>
        </w:rPr>
      </w:pPr>
    </w:p>
    <w:p>
      <w:pPr>
        <w:spacing w:after="0" w:beforeAutospacing="0" w:afterAutospacing="0"/>
        <w:rPr>
          <w:rFonts w:ascii="Times New Roman" w:hAnsi="Times New Roman"/>
          <w:color w:val="FF0000"/>
          <w:sz w:val="24"/>
          <w:szCs w:val="24"/>
        </w:rPr>
      </w:pPr>
      <w:r>
        <w:rPr>
          <w:rFonts w:ascii="Times New Roman" w:hAnsi="Times New Roman"/>
          <w:color w:val="FF0000"/>
          <w:sz w:val="24"/>
          <w:szCs w:val="24"/>
        </w:rPr>
        <w:t xml:space="preserve"> </w:t>
      </w:r>
    </w:p>
    <w:p>
      <w:pPr>
        <w:spacing w:after="0" w:beforeAutospacing="0" w:afterAutospacing="0"/>
        <w:rPr>
          <w:rFonts w:ascii="Times New Roman" w:hAnsi="Times New Roman"/>
          <w:color w:val="000000"/>
          <w:sz w:val="24"/>
          <w:szCs w:val="24"/>
        </w:rPr>
      </w:pPr>
      <w:r>
        <w:rPr>
          <w:rFonts w:ascii="Times New Roman" w:hAnsi="Times New Roman"/>
          <w:color w:val="000000"/>
          <w:sz w:val="24"/>
          <w:szCs w:val="24"/>
        </w:rPr>
        <w:t xml:space="preserve">Міський голова </w:t>
        <w:tab/>
        <w:tab/>
        <w:tab/>
        <w:tab/>
        <w:tab/>
        <w:tab/>
        <w:tab/>
        <w:tab/>
        <w:t xml:space="preserve">         Сергій НАДАЛ </w:t>
      </w:r>
    </w:p>
    <w:p>
      <w:pPr>
        <w:spacing w:after="0" w:beforeAutospacing="0" w:afterAutospacing="0"/>
        <w:rPr>
          <w:rFonts w:ascii="Times New Roman" w:hAnsi="Times New Roman"/>
          <w:color w:val="FF0000"/>
          <w:sz w:val="24"/>
          <w:szCs w:val="24"/>
        </w:rPr>
      </w:pPr>
    </w:p>
    <w:p>
      <w:pPr>
        <w:spacing w:after="0" w:beforeAutospacing="0" w:afterAutospacing="0"/>
        <w:rPr>
          <w:rFonts w:ascii="Times New Roman" w:hAnsi="Times New Roman"/>
          <w:sz w:val="24"/>
          <w:szCs w:val="24"/>
        </w:rPr>
      </w:pPr>
    </w:p>
    <w:p>
      <w:pPr>
        <w:spacing w:after="0" w:beforeAutospacing="0" w:afterAutospacing="0"/>
        <w:rPr>
          <w:rFonts w:ascii="Times New Roman" w:hAnsi="Times New Roman"/>
          <w:color w:val="FF0000"/>
          <w:sz w:val="24"/>
          <w:szCs w:val="24"/>
        </w:rPr>
      </w:pPr>
    </w:p>
    <w:p>
      <w:pPr>
        <w:spacing w:after="0" w:beforeAutospacing="0" w:afterAutospacing="0"/>
        <w:rPr>
          <w:rFonts w:ascii="Times New Roman" w:hAnsi="Times New Roman"/>
          <w:sz w:val="24"/>
          <w:szCs w:val="24"/>
        </w:rPr>
      </w:pPr>
    </w:p>
    <w:sectPr>
      <w:headerReference xmlns:r="http://schemas.openxmlformats.org/officeDocument/2006/relationships" w:type="default" r:id="RelHdr1"/>
      <w:type w:val="nextPage"/>
      <w:pgSz w:w="11906" w:h="16838" w:code="0"/>
      <w:pgMar w:left="1985" w:right="567" w:top="1134" w:bottom="1985" w:header="709" w:footer="709" w:gutter="0"/>
      <w:titlePg w:val="1"/>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r>
      <w:t xml:space="preserve">                                                                                  </w:t>
    </w:r>
    <w:r>
      <w:rPr>
        <w:rFonts w:ascii="Times New Roman" w:hAnsi="Times New Roman"/>
        <w:sz w:val="24"/>
      </w:rPr>
      <w:t>2</w:t>
    </w:r>
  </w:p>
</w:hdr>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08"/>
  <w:autoHyphenation w:val="0"/>
  <w:hyphenationZone w:val="425"/>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lang w:val="uk-UA" w:bidi="ar-SA" w:eastAsia="uk-UA"/>
      </w:rPr>
    </w:rPrDefault>
    <w:pPrDefault>
      <w:pPr>
        <w:keepNext w:val="0"/>
        <w:keepLines w:val="0"/>
        <w:pageBreakBefore w:val="0"/>
        <w:widowControl w:val="1"/>
        <w:suppressLineNumbers w:val="0"/>
        <w:shd w:val="clear" w:fill="auto"/>
        <w:suppressAutoHyphens w:val="0"/>
        <w:spacing w:lineRule="auto" w:line="276" w:before="0" w:after="200" w:beforeAutospacing="0" w:afterAutospacing="0"/>
        <w:ind w:firstLine="0" w:left="0" w:right="0"/>
        <w:contextualSpacing w:val="0"/>
        <w:bidi w:val="0"/>
        <w:jc w:val="left"/>
        <w:outlineLvl w:val="9"/>
      </w:pPr>
    </w:pPrDefault>
  </w:docDefaults>
  <w:style w:type="paragraph" w:styleId="P0" w:default="1">
    <w:name w:val="Normal"/>
    <w:qFormat/>
    <w:pPr/>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semiHidden/>
    <w:qFormat/>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elHdr1" Type="http://schemas.openxmlformats.org/officeDocument/2006/relationships/header" Target="header1.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API/21.1.3.0</Application>
  <AppVersion>21.1</AppVersion>
  <Company>Reanimator Extreme Edition</Company>
  <Template>Normal</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d11-hudyma</dc:creator>
  <dcterms:created xsi:type="dcterms:W3CDTF">2023-02-17T13:09:00Z</dcterms:created>
  <cp:lastModifiedBy>askod</cp:lastModifiedBy>
  <cp:lastPrinted>2023-03-14T09:28:00Z</cp:lastPrinted>
  <dcterms:modified xsi:type="dcterms:W3CDTF">2023-03-15T10:05:39Z</dcterms:modified>
  <cp:revision>17</cp:revision>
</cp:coreProperties>
</file>